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1A90E" w14:textId="3FC11635" w:rsidR="007F3BE5" w:rsidRPr="00DB628E" w:rsidRDefault="007F3BE5" w:rsidP="007F3BE5">
      <w:pPr>
        <w:pStyle w:val="align-right"/>
        <w:spacing w:after="0"/>
        <w:rPr>
          <w:rFonts w:ascii="Liberation Serif" w:hAnsi="Liberation Serif" w:cs="Liberation Serif"/>
        </w:rPr>
      </w:pPr>
      <w:r w:rsidRPr="00DB628E">
        <w:rPr>
          <w:rFonts w:ascii="Liberation Serif" w:hAnsi="Liberation Serif" w:cs="Liberation Serif"/>
        </w:rPr>
        <w:t xml:space="preserve">Приложение № </w:t>
      </w:r>
      <w:r>
        <w:rPr>
          <w:rFonts w:ascii="Liberation Serif" w:hAnsi="Liberation Serif" w:cs="Liberation Serif"/>
        </w:rPr>
        <w:t>4</w:t>
      </w:r>
      <w:r w:rsidRPr="00DB628E">
        <w:rPr>
          <w:rFonts w:ascii="Liberation Serif" w:hAnsi="Liberation Serif" w:cs="Liberation Serif"/>
        </w:rPr>
        <w:br/>
        <w:t>к Контракту № _____</w:t>
      </w:r>
    </w:p>
    <w:p w14:paraId="72BF81F5" w14:textId="77777777" w:rsidR="007F3BE5" w:rsidRPr="00DB628E" w:rsidRDefault="007F3BE5" w:rsidP="007F3BE5">
      <w:pPr>
        <w:pStyle w:val="align-right"/>
        <w:spacing w:after="0"/>
        <w:rPr>
          <w:rFonts w:ascii="Liberation Serif" w:hAnsi="Liberation Serif" w:cs="Liberation Serif"/>
        </w:rPr>
      </w:pPr>
      <w:r w:rsidRPr="00DB628E">
        <w:rPr>
          <w:rFonts w:ascii="Liberation Serif" w:hAnsi="Liberation Serif" w:cs="Liberation Serif"/>
        </w:rPr>
        <w:t>От ________________</w:t>
      </w:r>
    </w:p>
    <w:p w14:paraId="37E98838" w14:textId="77777777" w:rsidR="007F3BE5" w:rsidRPr="00DB628E" w:rsidRDefault="007F3BE5" w:rsidP="007F3BE5">
      <w:pPr>
        <w:pStyle w:val="align-right"/>
        <w:spacing w:after="0"/>
      </w:pPr>
      <w:r w:rsidRPr="00DB628E">
        <w:rPr>
          <w:rFonts w:ascii="Liberation Serif" w:hAnsi="Liberation Serif" w:cs="Liberation Serif"/>
        </w:rPr>
        <w:br/>
      </w:r>
    </w:p>
    <w:p w14:paraId="151B9BB2" w14:textId="77777777" w:rsidR="007F3BE5" w:rsidRPr="00A609F1" w:rsidRDefault="007F3BE5" w:rsidP="007F3BE5">
      <w:pPr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A609F1">
        <w:rPr>
          <w:rStyle w:val="docsupplement-name"/>
          <w:rFonts w:ascii="Liberation Serif" w:hAnsi="Liberation Serif" w:cs="Liberation Serif"/>
          <w:b/>
          <w:bCs/>
          <w:sz w:val="24"/>
          <w:szCs w:val="24"/>
        </w:rPr>
        <w:t>Гарантийные сроки на конструктивные элементы автомобильной дороги, искусственного дорожного сооружения</w:t>
      </w:r>
    </w:p>
    <w:p w14:paraId="5F30BCDA" w14:textId="77777777" w:rsidR="007F3BE5" w:rsidRPr="00DB628E" w:rsidRDefault="007F3BE5" w:rsidP="007F3BE5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1. Гарантийный срок, принимаемый для земляного полотна автомобильной дороги и слоев основания дорожной одежды автомобильной дороги при ремонте, - 6 лет.</w:t>
      </w:r>
    </w:p>
    <w:p w14:paraId="6BC9D215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2. Гарантийный срок для обочины (ее частей) автомобильной дороги, укрепленных материалом по типу проезжей части, принимается равным гарантийному сроку покрытия верхнего слоя дорожной одежды автомобильной дороги. В иных случаях гарантийный срок для обочины (ее частей) автомобильной дороги не регламентируется.</w:t>
      </w:r>
    </w:p>
    <w:p w14:paraId="388D5622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 xml:space="preserve">3. Гарантийный срок для дорожного покрытия из </w:t>
      </w:r>
      <w:proofErr w:type="spellStart"/>
      <w:r w:rsidRPr="00DB628E">
        <w:rPr>
          <w:rFonts w:ascii="Liberation Serif" w:hAnsi="Liberation Serif" w:cs="Liberation Serif"/>
          <w:sz w:val="24"/>
          <w:szCs w:val="24"/>
        </w:rPr>
        <w:t>цементобетона</w:t>
      </w:r>
      <w:proofErr w:type="spellEnd"/>
      <w:r w:rsidRPr="00DB628E">
        <w:rPr>
          <w:rFonts w:ascii="Liberation Serif" w:hAnsi="Liberation Serif" w:cs="Liberation Serif"/>
          <w:sz w:val="24"/>
          <w:szCs w:val="24"/>
        </w:rPr>
        <w:t xml:space="preserve"> при ремонте дорожной одежды автомобильной дороги - 8 лет.</w:t>
      </w:r>
    </w:p>
    <w:p w14:paraId="212E1C69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4. Гарантийный срок для нижнего слоя дорожного покрытия - 5 лет.</w:t>
      </w:r>
    </w:p>
    <w:p w14:paraId="0104BB9E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5. Гарантийные сроки для верхнего слоя дорожного покрытия автомобильной дороги и слоев износа из асфальтобетона при ремонте дорожной одежды автомобильной дороги устанавливаются в зависимости от прогнозируемой интенсивности движения транспортного потока по полосе движения и представлены в таблице 1.</w:t>
      </w:r>
    </w:p>
    <w:p w14:paraId="2D9E5D36" w14:textId="77777777" w:rsidR="007F3BE5" w:rsidRPr="00DB628E" w:rsidRDefault="007F3BE5" w:rsidP="007F3BE5">
      <w:pPr>
        <w:pStyle w:val="align-right"/>
        <w:spacing w:after="0"/>
      </w:pPr>
      <w:r w:rsidRPr="00DB628E">
        <w:rPr>
          <w:rFonts w:ascii="Liberation Serif" w:hAnsi="Liberation Serif" w:cs="Liberation Serif"/>
        </w:rPr>
        <w:t xml:space="preserve">Таблица 1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175"/>
        <w:gridCol w:w="4463"/>
      </w:tblGrid>
      <w:tr w:rsidR="007F3BE5" w:rsidRPr="00DB628E" w14:paraId="0B14CB38" w14:textId="77777777" w:rsidTr="0042519F">
        <w:tc>
          <w:tcPr>
            <w:tcW w:w="6098" w:type="dxa"/>
            <w:vAlign w:val="center"/>
            <w:hideMark/>
          </w:tcPr>
          <w:p w14:paraId="2F6ABF08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  <w:tc>
          <w:tcPr>
            <w:tcW w:w="5174" w:type="dxa"/>
            <w:vAlign w:val="center"/>
            <w:hideMark/>
          </w:tcPr>
          <w:p w14:paraId="2D2F4FCA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</w:tr>
      <w:tr w:rsidR="007F3BE5" w:rsidRPr="00DB628E" w14:paraId="4E6D93B7" w14:textId="77777777" w:rsidTr="0042519F">
        <w:tc>
          <w:tcPr>
            <w:tcW w:w="609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7C4E279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Прогнозируемая интенсивность</w:t>
            </w:r>
            <w:r w:rsidRPr="00DB628E">
              <w:rPr>
                <w:rFonts w:ascii="Liberation Serif" w:hAnsi="Liberation Serif" w:cs="Liberation Serif"/>
              </w:rPr>
              <w:br/>
              <w:t>движения транспортного потока</w:t>
            </w:r>
            <w:r w:rsidRPr="00DB628E">
              <w:rPr>
                <w:rFonts w:ascii="Liberation Serif" w:hAnsi="Liberation Serif" w:cs="Liberation Serif"/>
              </w:rPr>
              <w:br/>
              <w:t xml:space="preserve">по полосе движения, автомобилей в сутки </w:t>
            </w:r>
          </w:p>
        </w:tc>
        <w:tc>
          <w:tcPr>
            <w:tcW w:w="5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3103DB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Гарантийные сроки</w:t>
            </w:r>
            <w:r w:rsidRPr="00DB628E">
              <w:rPr>
                <w:rFonts w:ascii="Liberation Serif" w:hAnsi="Liberation Serif" w:cs="Liberation Serif"/>
              </w:rPr>
              <w:br/>
              <w:t>для верхнего слоя покрытия</w:t>
            </w:r>
            <w:r w:rsidRPr="00DB628E">
              <w:rPr>
                <w:rFonts w:ascii="Liberation Serif" w:hAnsi="Liberation Serif" w:cs="Liberation Serif"/>
              </w:rPr>
              <w:br/>
              <w:t xml:space="preserve">из асфальтобетона, лет </w:t>
            </w:r>
          </w:p>
        </w:tc>
      </w:tr>
      <w:tr w:rsidR="007F3BE5" w:rsidRPr="00DB628E" w14:paraId="198C8946" w14:textId="77777777" w:rsidTr="0042519F">
        <w:tc>
          <w:tcPr>
            <w:tcW w:w="609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CC8C54C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менее 1000</w:t>
            </w:r>
          </w:p>
        </w:tc>
        <w:tc>
          <w:tcPr>
            <w:tcW w:w="517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D45CB14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8 </w:t>
            </w:r>
          </w:p>
        </w:tc>
      </w:tr>
      <w:tr w:rsidR="007F3BE5" w:rsidRPr="00DB628E" w14:paraId="41FC43FB" w14:textId="77777777" w:rsidTr="0042519F">
        <w:tc>
          <w:tcPr>
            <w:tcW w:w="6098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F7AEF16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1000-2500</w:t>
            </w:r>
          </w:p>
        </w:tc>
        <w:tc>
          <w:tcPr>
            <w:tcW w:w="5174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A3302B8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7 </w:t>
            </w:r>
          </w:p>
        </w:tc>
      </w:tr>
      <w:tr w:rsidR="007F3BE5" w:rsidRPr="00DB628E" w14:paraId="3E1E344D" w14:textId="77777777" w:rsidTr="0042519F">
        <w:tc>
          <w:tcPr>
            <w:tcW w:w="6098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5C8C6AF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2500-5000</w:t>
            </w:r>
          </w:p>
        </w:tc>
        <w:tc>
          <w:tcPr>
            <w:tcW w:w="5174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27ADA88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6 </w:t>
            </w:r>
          </w:p>
        </w:tc>
      </w:tr>
      <w:tr w:rsidR="007F3BE5" w:rsidRPr="00DB628E" w14:paraId="09EFF407" w14:textId="77777777" w:rsidTr="0042519F">
        <w:tc>
          <w:tcPr>
            <w:tcW w:w="6098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7C93DDA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5000-10000</w:t>
            </w:r>
          </w:p>
        </w:tc>
        <w:tc>
          <w:tcPr>
            <w:tcW w:w="5174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E56906F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5 </w:t>
            </w:r>
          </w:p>
        </w:tc>
      </w:tr>
      <w:tr w:rsidR="007F3BE5" w:rsidRPr="00DB628E" w14:paraId="66D81E2E" w14:textId="77777777" w:rsidTr="0042519F">
        <w:tc>
          <w:tcPr>
            <w:tcW w:w="6098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5717434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10000-20000</w:t>
            </w:r>
          </w:p>
        </w:tc>
        <w:tc>
          <w:tcPr>
            <w:tcW w:w="5174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C83C98D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4 </w:t>
            </w:r>
          </w:p>
        </w:tc>
      </w:tr>
      <w:tr w:rsidR="007F3BE5" w:rsidRPr="00DB628E" w14:paraId="01BE1752" w14:textId="77777777" w:rsidTr="0042519F">
        <w:tc>
          <w:tcPr>
            <w:tcW w:w="6098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C0AC393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более 20000 </w:t>
            </w:r>
          </w:p>
        </w:tc>
        <w:tc>
          <w:tcPr>
            <w:tcW w:w="5174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3FD915B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2 </w:t>
            </w:r>
          </w:p>
        </w:tc>
      </w:tr>
    </w:tbl>
    <w:p w14:paraId="74914E4C" w14:textId="77777777" w:rsidR="007F3BE5" w:rsidRPr="00DB628E" w:rsidRDefault="007F3BE5" w:rsidP="007F3BE5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6. Гарантийные сроки для поверхностных обработок дорожного полотна, а также для его защитных слоев и слоев износа из литых эмульсионно-минеральных смесей представлены в таблице 2.</w:t>
      </w:r>
    </w:p>
    <w:p w14:paraId="0575AB95" w14:textId="77777777" w:rsidR="007F3BE5" w:rsidRPr="00DB628E" w:rsidRDefault="007F3BE5" w:rsidP="007F3BE5">
      <w:pPr>
        <w:pStyle w:val="align-right"/>
        <w:spacing w:after="0"/>
      </w:pPr>
      <w:r w:rsidRPr="00DB628E">
        <w:rPr>
          <w:rFonts w:ascii="Liberation Serif" w:hAnsi="Liberation Serif" w:cs="Liberation Serif"/>
        </w:rPr>
        <w:t xml:space="preserve">Таблица 2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898"/>
        <w:gridCol w:w="3098"/>
        <w:gridCol w:w="2642"/>
      </w:tblGrid>
      <w:tr w:rsidR="007F3BE5" w:rsidRPr="00DB628E" w14:paraId="1E5807A7" w14:textId="77777777" w:rsidTr="0042519F">
        <w:tc>
          <w:tcPr>
            <w:tcW w:w="4435" w:type="dxa"/>
            <w:vAlign w:val="center"/>
            <w:hideMark/>
          </w:tcPr>
          <w:p w14:paraId="0E4421D0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  <w:hideMark/>
          </w:tcPr>
          <w:p w14:paraId="66D1E241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  <w:tc>
          <w:tcPr>
            <w:tcW w:w="3142" w:type="dxa"/>
            <w:vAlign w:val="center"/>
            <w:hideMark/>
          </w:tcPr>
          <w:p w14:paraId="1CE1D293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</w:tr>
      <w:tr w:rsidR="007F3BE5" w:rsidRPr="00DB628E" w14:paraId="3D2FB37F" w14:textId="77777777" w:rsidTr="0042519F">
        <w:tc>
          <w:tcPr>
            <w:tcW w:w="443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22A58A0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Конструктивный элемент </w:t>
            </w:r>
          </w:p>
        </w:tc>
        <w:tc>
          <w:tcPr>
            <w:tcW w:w="6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D96CC7E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Гарантийные сроки, устанавливаемые</w:t>
            </w:r>
            <w:r w:rsidRPr="00DB628E">
              <w:rPr>
                <w:rFonts w:ascii="Liberation Serif" w:hAnsi="Liberation Serif" w:cs="Liberation Serif"/>
              </w:rPr>
              <w:br/>
              <w:t>в зависимости от прогнозируемой</w:t>
            </w:r>
            <w:r w:rsidRPr="00DB628E">
              <w:rPr>
                <w:rFonts w:ascii="Liberation Serif" w:hAnsi="Liberation Serif" w:cs="Liberation Serif"/>
              </w:rPr>
              <w:br/>
              <w:t>интенсивности движения транспортного</w:t>
            </w:r>
            <w:r w:rsidRPr="00DB628E">
              <w:rPr>
                <w:rFonts w:ascii="Liberation Serif" w:hAnsi="Liberation Serif" w:cs="Liberation Serif"/>
              </w:rPr>
              <w:br/>
            </w:r>
            <w:r w:rsidRPr="00DB628E">
              <w:rPr>
                <w:rFonts w:ascii="Liberation Serif" w:hAnsi="Liberation Serif" w:cs="Liberation Serif"/>
              </w:rPr>
              <w:lastRenderedPageBreak/>
              <w:t>потока по полосе движения,</w:t>
            </w:r>
            <w:r w:rsidRPr="00DB628E">
              <w:rPr>
                <w:rFonts w:ascii="Liberation Serif" w:hAnsi="Liberation Serif" w:cs="Liberation Serif"/>
              </w:rPr>
              <w:br/>
              <w:t xml:space="preserve">автомобилей в сутки </w:t>
            </w:r>
          </w:p>
        </w:tc>
      </w:tr>
      <w:tr w:rsidR="007F3BE5" w:rsidRPr="00DB628E" w14:paraId="536E0105" w14:textId="77777777" w:rsidTr="0042519F">
        <w:tc>
          <w:tcPr>
            <w:tcW w:w="4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A05F20A" w14:textId="77777777" w:rsidR="007F3BE5" w:rsidRPr="00DB628E" w:rsidRDefault="007F3BE5" w:rsidP="0042519F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2360D9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менее 2500 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54717EF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более 2500 </w:t>
            </w:r>
          </w:p>
        </w:tc>
      </w:tr>
      <w:tr w:rsidR="007F3BE5" w:rsidRPr="00DB628E" w14:paraId="59561AA2" w14:textId="77777777" w:rsidTr="0042519F">
        <w:tc>
          <w:tcPr>
            <w:tcW w:w="443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E29EFEA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Однослойная поверхностная обработка дорожного полотна с однократным распределением щебня</w:t>
            </w: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9E5A857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1,5 года </w:t>
            </w:r>
          </w:p>
        </w:tc>
        <w:tc>
          <w:tcPr>
            <w:tcW w:w="314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A78049F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1 год </w:t>
            </w:r>
          </w:p>
        </w:tc>
      </w:tr>
      <w:tr w:rsidR="007F3BE5" w:rsidRPr="00DB628E" w14:paraId="3EFC761C" w14:textId="77777777" w:rsidTr="0042519F">
        <w:tc>
          <w:tcPr>
            <w:tcW w:w="4435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7488EA5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Однослойная поверхностная обработка дорожного полотна с двойной россыпью щебня</w:t>
            </w:r>
          </w:p>
        </w:tc>
        <w:tc>
          <w:tcPr>
            <w:tcW w:w="3696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59528F6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2 года </w:t>
            </w:r>
          </w:p>
        </w:tc>
        <w:tc>
          <w:tcPr>
            <w:tcW w:w="3142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5110C1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1 год </w:t>
            </w:r>
          </w:p>
        </w:tc>
      </w:tr>
      <w:tr w:rsidR="007F3BE5" w:rsidRPr="00DB628E" w14:paraId="445A5B14" w14:textId="77777777" w:rsidTr="0042519F">
        <w:tc>
          <w:tcPr>
            <w:tcW w:w="4435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64BDA46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Двухслойная поверхностная обработка дорожного полотна</w:t>
            </w:r>
          </w:p>
        </w:tc>
        <w:tc>
          <w:tcPr>
            <w:tcW w:w="3696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701A1EB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2 года </w:t>
            </w:r>
          </w:p>
        </w:tc>
        <w:tc>
          <w:tcPr>
            <w:tcW w:w="3142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4ADA330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1 год </w:t>
            </w:r>
          </w:p>
        </w:tc>
      </w:tr>
      <w:tr w:rsidR="007F3BE5" w:rsidRPr="00DB628E" w14:paraId="6B9E1334" w14:textId="77777777" w:rsidTr="0042519F">
        <w:tc>
          <w:tcPr>
            <w:tcW w:w="4435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964E4CE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Слои износа дорожного полотна и его защитные слои </w:t>
            </w:r>
          </w:p>
        </w:tc>
        <w:tc>
          <w:tcPr>
            <w:tcW w:w="3696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EAAAB2D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2 года </w:t>
            </w:r>
          </w:p>
        </w:tc>
        <w:tc>
          <w:tcPr>
            <w:tcW w:w="3142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47585E2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1 год </w:t>
            </w:r>
          </w:p>
        </w:tc>
      </w:tr>
    </w:tbl>
    <w:p w14:paraId="2A53A582" w14:textId="77777777" w:rsidR="007F3BE5" w:rsidRPr="00DB628E" w:rsidRDefault="007F3BE5" w:rsidP="007F3BE5">
      <w:pPr>
        <w:jc w:val="both"/>
        <w:rPr>
          <w:rFonts w:ascii="Times New Roman" w:eastAsiaTheme="minorEastAsia" w:hAnsi="Times New Roman"/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7. Гарантийные сроки на дорожные знаки:</w:t>
      </w:r>
    </w:p>
    <w:p w14:paraId="66012A31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 xml:space="preserve">а) для знаков без применения </w:t>
      </w:r>
      <w:proofErr w:type="spellStart"/>
      <w:r w:rsidRPr="00DB628E">
        <w:rPr>
          <w:rFonts w:ascii="Liberation Serif" w:hAnsi="Liberation Serif" w:cs="Liberation Serif"/>
          <w:sz w:val="24"/>
          <w:szCs w:val="24"/>
        </w:rPr>
        <w:t>световозвращающих</w:t>
      </w:r>
      <w:proofErr w:type="spellEnd"/>
      <w:r w:rsidRPr="00DB628E">
        <w:rPr>
          <w:rFonts w:ascii="Liberation Serif" w:hAnsi="Liberation Serif" w:cs="Liberation Serif"/>
          <w:sz w:val="24"/>
          <w:szCs w:val="24"/>
        </w:rPr>
        <w:t xml:space="preserve"> материалов - 2 года;</w:t>
      </w:r>
    </w:p>
    <w:p w14:paraId="55BC7BF5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 xml:space="preserve">б) для </w:t>
      </w:r>
      <w:proofErr w:type="spellStart"/>
      <w:r w:rsidRPr="00DB628E">
        <w:rPr>
          <w:rFonts w:ascii="Liberation Serif" w:hAnsi="Liberation Serif" w:cs="Liberation Serif"/>
          <w:sz w:val="24"/>
          <w:szCs w:val="24"/>
        </w:rPr>
        <w:t>световозвращающих</w:t>
      </w:r>
      <w:proofErr w:type="spellEnd"/>
      <w:r w:rsidRPr="00DB628E">
        <w:rPr>
          <w:rFonts w:ascii="Liberation Serif" w:hAnsi="Liberation Serif" w:cs="Liberation Serif"/>
          <w:sz w:val="24"/>
          <w:szCs w:val="24"/>
        </w:rPr>
        <w:t xml:space="preserve"> материалов I класса - 5 лет;</w:t>
      </w:r>
    </w:p>
    <w:p w14:paraId="3AEC3DE5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 xml:space="preserve">в) для </w:t>
      </w:r>
      <w:proofErr w:type="spellStart"/>
      <w:r w:rsidRPr="00DB628E">
        <w:rPr>
          <w:rFonts w:ascii="Liberation Serif" w:hAnsi="Liberation Serif" w:cs="Liberation Serif"/>
          <w:sz w:val="24"/>
          <w:szCs w:val="24"/>
        </w:rPr>
        <w:t>световозвращающих</w:t>
      </w:r>
      <w:proofErr w:type="spellEnd"/>
      <w:r w:rsidRPr="00DB628E">
        <w:rPr>
          <w:rFonts w:ascii="Liberation Serif" w:hAnsi="Liberation Serif" w:cs="Liberation Serif"/>
          <w:sz w:val="24"/>
          <w:szCs w:val="24"/>
        </w:rPr>
        <w:t xml:space="preserve"> материалов II и III классов - 10 лет;</w:t>
      </w:r>
    </w:p>
    <w:p w14:paraId="140F5682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 xml:space="preserve">г) для знаков с применением </w:t>
      </w:r>
      <w:proofErr w:type="spellStart"/>
      <w:r w:rsidRPr="00DB628E">
        <w:rPr>
          <w:rFonts w:ascii="Liberation Serif" w:hAnsi="Liberation Serif" w:cs="Liberation Serif"/>
          <w:sz w:val="24"/>
          <w:szCs w:val="24"/>
        </w:rPr>
        <w:t>световозвращающего</w:t>
      </w:r>
      <w:proofErr w:type="spellEnd"/>
      <w:r w:rsidRPr="00DB628E">
        <w:rPr>
          <w:rFonts w:ascii="Liberation Serif" w:hAnsi="Liberation Serif" w:cs="Liberation Serif"/>
          <w:sz w:val="24"/>
          <w:szCs w:val="24"/>
        </w:rPr>
        <w:t xml:space="preserve"> материала I класса - 5 лет;</w:t>
      </w:r>
    </w:p>
    <w:p w14:paraId="2B766450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 xml:space="preserve">д) для знаков с применением </w:t>
      </w:r>
      <w:proofErr w:type="spellStart"/>
      <w:r w:rsidRPr="00DB628E">
        <w:rPr>
          <w:rFonts w:ascii="Liberation Serif" w:hAnsi="Liberation Serif" w:cs="Liberation Serif"/>
          <w:sz w:val="24"/>
          <w:szCs w:val="24"/>
        </w:rPr>
        <w:t>световозвращающего</w:t>
      </w:r>
      <w:proofErr w:type="spellEnd"/>
      <w:r w:rsidRPr="00DB628E">
        <w:rPr>
          <w:rFonts w:ascii="Liberation Serif" w:hAnsi="Liberation Serif" w:cs="Liberation Serif"/>
          <w:sz w:val="24"/>
          <w:szCs w:val="24"/>
        </w:rPr>
        <w:t xml:space="preserve"> материала II и III класса - 10 лет.</w:t>
      </w:r>
    </w:p>
    <w:p w14:paraId="77F3158B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8. Гарантийные сроки на дорожную разметку не должны быть менее функциональной долговечности разметки:</w:t>
      </w:r>
    </w:p>
    <w:p w14:paraId="438E7673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а) функциональная долговечность постоянной горизонтальной разметки, выполненной термопластиками, холодными пластиками толщиной нанесения 1,5 мм и более, штучными формами и полимерными лентами, - 1 год;</w:t>
      </w:r>
    </w:p>
    <w:p w14:paraId="4B62E47B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б) функциональная долговечность постоянной горизонтальной разметки, выполненной термопластиками, холодными пластиками толщиной нанесения менее 1,5 мм, - 6 месяцев;</w:t>
      </w:r>
    </w:p>
    <w:p w14:paraId="2BE42032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в) функциональная долговечность постоянной горизонтальной разметки, выполненной красками (эмалями), - 3 месяца;</w:t>
      </w:r>
    </w:p>
    <w:p w14:paraId="69B3EC03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г) функциональная долговечность временной горизонтальной разметки - до окончания событий, потребовавших ее нанесения.</w:t>
      </w:r>
    </w:p>
    <w:p w14:paraId="367224BA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9. Гарантийный срок на барьерное ограждение (металлическое, железобетонное) - 5 лет.</w:t>
      </w:r>
    </w:p>
    <w:p w14:paraId="53F7D427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10. Гарантийный срок на сигнальные столбики - 2 года.</w:t>
      </w:r>
    </w:p>
    <w:p w14:paraId="6592BB2D" w14:textId="77777777" w:rsidR="007F3BE5" w:rsidRPr="00DB628E" w:rsidRDefault="007F3BE5" w:rsidP="007F3BE5">
      <w:pPr>
        <w:jc w:val="both"/>
        <w:rPr>
          <w:sz w:val="24"/>
          <w:szCs w:val="24"/>
        </w:rPr>
      </w:pPr>
      <w:r w:rsidRPr="00DB628E">
        <w:rPr>
          <w:rFonts w:ascii="Liberation Serif" w:hAnsi="Liberation Serif" w:cs="Liberation Serif"/>
          <w:sz w:val="24"/>
          <w:szCs w:val="24"/>
        </w:rPr>
        <w:t>11. Гарантийные сроки на искусственные дорожные сооружения представлены в таблице 3.</w:t>
      </w:r>
    </w:p>
    <w:p w14:paraId="4923937A" w14:textId="77777777" w:rsidR="007F3BE5" w:rsidRPr="00DB628E" w:rsidRDefault="007F3BE5" w:rsidP="007F3BE5">
      <w:pPr>
        <w:pStyle w:val="align-right"/>
        <w:spacing w:after="0"/>
      </w:pPr>
      <w:r w:rsidRPr="00DB628E">
        <w:rPr>
          <w:rFonts w:ascii="Liberation Serif" w:hAnsi="Liberation Serif" w:cs="Liberation Serif"/>
        </w:rPr>
        <w:t xml:space="preserve">Таблица 3 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641"/>
        <w:gridCol w:w="3997"/>
      </w:tblGrid>
      <w:tr w:rsidR="007F3BE5" w:rsidRPr="00DB628E" w14:paraId="4EEFC0DE" w14:textId="77777777" w:rsidTr="0042519F">
        <w:tc>
          <w:tcPr>
            <w:tcW w:w="5641" w:type="dxa"/>
            <w:vAlign w:val="center"/>
            <w:hideMark/>
          </w:tcPr>
          <w:p w14:paraId="74DD78E6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  <w:tc>
          <w:tcPr>
            <w:tcW w:w="3997" w:type="dxa"/>
            <w:vAlign w:val="center"/>
            <w:hideMark/>
          </w:tcPr>
          <w:p w14:paraId="6F73F7A1" w14:textId="77777777" w:rsidR="007F3BE5" w:rsidRPr="00DB628E" w:rsidRDefault="007F3BE5" w:rsidP="0042519F">
            <w:pPr>
              <w:rPr>
                <w:sz w:val="24"/>
                <w:szCs w:val="24"/>
              </w:rPr>
            </w:pPr>
          </w:p>
        </w:tc>
      </w:tr>
      <w:tr w:rsidR="007F3BE5" w:rsidRPr="00DB628E" w14:paraId="74F00F5B" w14:textId="77777777" w:rsidTr="0042519F">
        <w:tc>
          <w:tcPr>
            <w:tcW w:w="564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C6D558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Наименование искусственного дорожного сооружения </w:t>
            </w:r>
          </w:p>
        </w:tc>
        <w:tc>
          <w:tcPr>
            <w:tcW w:w="3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CF382DD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Гарантийный срок</w:t>
            </w:r>
            <w:r w:rsidRPr="00DB628E">
              <w:rPr>
                <w:rFonts w:ascii="Liberation Serif" w:hAnsi="Liberation Serif" w:cs="Liberation Serif"/>
              </w:rPr>
              <w:br/>
              <w:t>на искусственное дорожное</w:t>
            </w:r>
            <w:r w:rsidRPr="00DB628E">
              <w:rPr>
                <w:rFonts w:ascii="Liberation Serif" w:hAnsi="Liberation Serif" w:cs="Liberation Serif"/>
              </w:rPr>
              <w:br/>
              <w:t xml:space="preserve">сооружение </w:t>
            </w:r>
          </w:p>
        </w:tc>
      </w:tr>
      <w:tr w:rsidR="007F3BE5" w:rsidRPr="00DB628E" w14:paraId="1C1B97E3" w14:textId="77777777" w:rsidTr="0042519F">
        <w:tc>
          <w:tcPr>
            <w:tcW w:w="564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8A034E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Мосты, путепроводы, тоннели, эстакады</w:t>
            </w:r>
          </w:p>
        </w:tc>
        <w:tc>
          <w:tcPr>
            <w:tcW w:w="3997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1AD9AE2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8 лет </w:t>
            </w:r>
          </w:p>
        </w:tc>
      </w:tr>
      <w:tr w:rsidR="007F3BE5" w:rsidRPr="00DB628E" w14:paraId="42475471" w14:textId="77777777" w:rsidTr="0042519F">
        <w:tc>
          <w:tcPr>
            <w:tcW w:w="5641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99E9363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Водопропускные трубы</w:t>
            </w:r>
          </w:p>
        </w:tc>
        <w:tc>
          <w:tcPr>
            <w:tcW w:w="3997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3893873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6 лет </w:t>
            </w:r>
          </w:p>
        </w:tc>
      </w:tr>
      <w:tr w:rsidR="007F3BE5" w:rsidRPr="00DB628E" w14:paraId="5C468B8E" w14:textId="77777777" w:rsidTr="0042519F">
        <w:tc>
          <w:tcPr>
            <w:tcW w:w="5641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57F4386" w14:textId="77777777" w:rsidR="007F3BE5" w:rsidRPr="00DB628E" w:rsidRDefault="007F3BE5" w:rsidP="0042519F">
            <w:pPr>
              <w:pStyle w:val="formattext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>Регуляционные сооружения (тип сооружения)</w:t>
            </w:r>
          </w:p>
        </w:tc>
        <w:tc>
          <w:tcPr>
            <w:tcW w:w="3997" w:type="dxa"/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E4E48AB" w14:textId="77777777" w:rsidR="007F3BE5" w:rsidRPr="00DB628E" w:rsidRDefault="007F3BE5" w:rsidP="0042519F">
            <w:pPr>
              <w:pStyle w:val="align-center"/>
              <w:spacing w:after="0"/>
              <w:rPr>
                <w:rFonts w:ascii="Liberation Serif" w:hAnsi="Liberation Serif" w:cs="Liberation Serif"/>
              </w:rPr>
            </w:pPr>
            <w:r w:rsidRPr="00DB628E">
              <w:rPr>
                <w:rFonts w:ascii="Liberation Serif" w:hAnsi="Liberation Serif" w:cs="Liberation Serif"/>
              </w:rPr>
              <w:t xml:space="preserve">6 лет </w:t>
            </w:r>
          </w:p>
        </w:tc>
      </w:tr>
    </w:tbl>
    <w:p w14:paraId="1964B2B6" w14:textId="77777777" w:rsidR="007F3BE5" w:rsidRPr="007B68AE" w:rsidRDefault="007F3BE5" w:rsidP="007F3BE5">
      <w:pPr>
        <w:spacing w:after="0"/>
        <w:rPr>
          <w:rFonts w:ascii="Liberation Serif" w:eastAsiaTheme="minorHAnsi" w:hAnsi="Liberation Serif"/>
          <w:sz w:val="24"/>
          <w:szCs w:val="24"/>
        </w:rPr>
      </w:pPr>
    </w:p>
    <w:p w14:paraId="4728A7B7" w14:textId="77777777" w:rsidR="007F3BE5" w:rsidRPr="007B68AE" w:rsidRDefault="007F3BE5" w:rsidP="007F3BE5">
      <w:pPr>
        <w:spacing w:after="0"/>
        <w:jc w:val="both"/>
        <w:rPr>
          <w:rFonts w:ascii="Liberation Serif" w:eastAsiaTheme="minorHAnsi" w:hAnsi="Liberation Serif"/>
          <w:sz w:val="24"/>
          <w:szCs w:val="24"/>
        </w:rPr>
      </w:pPr>
      <w:r w:rsidRPr="007B68AE">
        <w:rPr>
          <w:rFonts w:ascii="Liberation Serif" w:eastAsiaTheme="minorHAnsi" w:hAnsi="Liberation Serif"/>
          <w:sz w:val="24"/>
          <w:szCs w:val="24"/>
        </w:rPr>
        <w:t xml:space="preserve">12.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В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случае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отсутствия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данных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о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прогнозируемой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интенсивности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движения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транспортного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потока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по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полосе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движения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принимать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гарантийный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срок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для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слоев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асфальтобетонных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покрытий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автомобильных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дорог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равный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4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года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в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соответствии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с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п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. 5.5. </w:t>
      </w:r>
      <w:r w:rsidRPr="007B68AE">
        <w:rPr>
          <w:rFonts w:ascii="Liberation Serif" w:eastAsiaTheme="minorHAnsi" w:hAnsi="Liberation Serif" w:cs="Cambria"/>
          <w:sz w:val="24"/>
          <w:szCs w:val="24"/>
        </w:rPr>
        <w:t>ОДМ</w:t>
      </w:r>
      <w:r w:rsidRPr="007B68AE">
        <w:rPr>
          <w:rFonts w:ascii="Liberation Serif" w:eastAsiaTheme="minorHAnsi" w:hAnsi="Liberation Serif"/>
          <w:sz w:val="24"/>
          <w:szCs w:val="24"/>
        </w:rPr>
        <w:t xml:space="preserve"> 218.6.029-2017.</w:t>
      </w:r>
    </w:p>
    <w:p w14:paraId="7DB6E8C6" w14:textId="77777777" w:rsidR="007F3BE5" w:rsidRDefault="007F3BE5" w:rsidP="007F3BE5">
      <w:pPr>
        <w:rPr>
          <w:rFonts w:ascii="Liberation Serif" w:hAnsi="Liberation Serif"/>
          <w:sz w:val="24"/>
          <w:szCs w:val="24"/>
        </w:rPr>
      </w:pPr>
    </w:p>
    <w:tbl>
      <w:tblPr>
        <w:tblW w:w="10172" w:type="dxa"/>
        <w:tblInd w:w="137" w:type="dxa"/>
        <w:tblLayout w:type="fixed"/>
        <w:tblLook w:val="01E0" w:firstRow="1" w:lastRow="1" w:firstColumn="1" w:lastColumn="1" w:noHBand="0" w:noVBand="0"/>
      </w:tblPr>
      <w:tblGrid>
        <w:gridCol w:w="5813"/>
        <w:gridCol w:w="4359"/>
      </w:tblGrid>
      <w:tr w:rsidR="007F3BE5" w:rsidRPr="007B68AE" w14:paraId="6B7EFB2B" w14:textId="77777777" w:rsidTr="0042519F">
        <w:trPr>
          <w:trHeight w:val="1046"/>
        </w:trPr>
        <w:tc>
          <w:tcPr>
            <w:tcW w:w="5813" w:type="dxa"/>
          </w:tcPr>
          <w:p w14:paraId="6D0CF734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57468B9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09F1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  <w:p w14:paraId="7DE24B28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09F1">
              <w:rPr>
                <w:rFonts w:ascii="Times New Roman" w:hAnsi="Times New Roman"/>
                <w:sz w:val="24"/>
                <w:szCs w:val="24"/>
              </w:rPr>
              <w:t>МКУ «Служба единого заказчика»</w:t>
            </w:r>
          </w:p>
          <w:p w14:paraId="6D6A4872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16A34A1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09F1">
              <w:rPr>
                <w:rFonts w:ascii="Times New Roman" w:hAnsi="Times New Roman"/>
                <w:sz w:val="24"/>
                <w:szCs w:val="24"/>
              </w:rPr>
              <w:t>Директор ____________ /О.В. Кожакин/</w:t>
            </w:r>
          </w:p>
        </w:tc>
        <w:tc>
          <w:tcPr>
            <w:tcW w:w="4359" w:type="dxa"/>
          </w:tcPr>
          <w:p w14:paraId="0271B7AB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9FD0EB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09F1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  <w:p w14:paraId="111EB140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182A19D" w14:textId="77777777" w:rsidR="007F3BE5" w:rsidRPr="00A609F1" w:rsidRDefault="007F3BE5" w:rsidP="0042519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176997C" w14:textId="77777777" w:rsidR="007F3BE5" w:rsidRPr="007B68AE" w:rsidRDefault="007F3BE5" w:rsidP="007F3BE5">
      <w:pPr>
        <w:rPr>
          <w:rFonts w:ascii="Liberation Serif" w:hAnsi="Liberation Serif"/>
          <w:sz w:val="24"/>
          <w:szCs w:val="24"/>
        </w:rPr>
      </w:pPr>
    </w:p>
    <w:p w14:paraId="2D6BE9D9" w14:textId="17ED2B9A" w:rsidR="007F3BE5" w:rsidRPr="002C1437" w:rsidRDefault="007F3BE5" w:rsidP="007F3BE5">
      <w:pPr>
        <w:rPr>
          <w:rStyle w:val="docnote-text"/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/>
          <w:sz w:val="24"/>
          <w:szCs w:val="24"/>
        </w:rPr>
        <w:br w:type="page"/>
      </w:r>
    </w:p>
    <w:p w14:paraId="1FF6F583" w14:textId="77777777" w:rsidR="007F3BE5" w:rsidRDefault="007F3BE5" w:rsidP="007F3BE5">
      <w:pPr>
        <w:rPr>
          <w:rStyle w:val="docnote-text"/>
          <w:rFonts w:ascii="Liberation Serif" w:hAnsi="Liberation Serif" w:cs="Liberation Serif"/>
          <w:sz w:val="17"/>
          <w:szCs w:val="17"/>
        </w:rPr>
        <w:sectPr w:rsidR="007F3BE5" w:rsidSect="007F3BE5">
          <w:pgSz w:w="11906" w:h="16838" w:code="9"/>
          <w:pgMar w:top="454" w:right="567" w:bottom="709" w:left="1701" w:header="397" w:footer="397" w:gutter="0"/>
          <w:cols w:space="708"/>
          <w:docGrid w:linePitch="360"/>
        </w:sectPr>
      </w:pPr>
    </w:p>
    <w:p w14:paraId="156DA8F7" w14:textId="77777777" w:rsidR="00E81F17" w:rsidRDefault="00E81F17"/>
    <w:sectPr w:rsidR="00E81F17" w:rsidSect="007F3BE5">
      <w:pgSz w:w="11905" w:h="16837"/>
      <w:pgMar w:top="283" w:right="283" w:bottom="1133" w:left="1133" w:header="720" w:footer="720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E5"/>
    <w:rsid w:val="005C6111"/>
    <w:rsid w:val="005E6A18"/>
    <w:rsid w:val="00624976"/>
    <w:rsid w:val="007F3BE5"/>
    <w:rsid w:val="00C3157D"/>
    <w:rsid w:val="00E81F17"/>
    <w:rsid w:val="00F5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F7D05"/>
  <w15:chartTrackingRefBased/>
  <w15:docId w15:val="{6167CDE4-CE33-4A38-A644-352EBE69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BE5"/>
    <w:pPr>
      <w:spacing w:after="200" w:line="276" w:lineRule="auto"/>
    </w:pPr>
    <w:rPr>
      <w:rFonts w:eastAsia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2"/>
    <w:basedOn w:val="a"/>
    <w:uiPriority w:val="99"/>
    <w:unhideWhenUsed/>
    <w:rsid w:val="007F3B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ocnote-text">
    <w:name w:val="doc__note-text"/>
    <w:basedOn w:val="a0"/>
    <w:rsid w:val="007F3BE5"/>
  </w:style>
  <w:style w:type="paragraph" w:customStyle="1" w:styleId="align-center">
    <w:name w:val="align-center"/>
    <w:basedOn w:val="a"/>
    <w:rsid w:val="007F3BE5"/>
    <w:pPr>
      <w:spacing w:after="223" w:line="240" w:lineRule="auto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align-right">
    <w:name w:val="align-right"/>
    <w:basedOn w:val="a"/>
    <w:rsid w:val="007F3BE5"/>
    <w:pPr>
      <w:spacing w:after="223" w:line="240" w:lineRule="auto"/>
      <w:jc w:val="righ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F3BE5"/>
    <w:pPr>
      <w:spacing w:after="223" w:line="240" w:lineRule="auto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docsupplement-name">
    <w:name w:val="docsupplement-name"/>
    <w:basedOn w:val="a0"/>
    <w:rsid w:val="007F3BE5"/>
  </w:style>
  <w:style w:type="character" w:customStyle="1" w:styleId="docsupplement-name0">
    <w:name w:val="doc__supplement-name"/>
    <w:basedOn w:val="a0"/>
    <w:rsid w:val="007F3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600</Words>
  <Characters>3423</Characters>
  <Application>Microsoft Office Word</Application>
  <DocSecurity>0</DocSecurity>
  <Lines>28</Lines>
  <Paragraphs>8</Paragraphs>
  <ScaleCrop>false</ScaleCrop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Михайлов</dc:creator>
  <cp:keywords/>
  <dc:description/>
  <cp:lastModifiedBy>Данилов Константин Сергеевич</cp:lastModifiedBy>
  <cp:revision>3</cp:revision>
  <dcterms:created xsi:type="dcterms:W3CDTF">2024-02-09T03:22:00Z</dcterms:created>
  <dcterms:modified xsi:type="dcterms:W3CDTF">2025-10-10T09:38:00Z</dcterms:modified>
</cp:coreProperties>
</file>